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left"/>
        <w:rPr>
          <w:rFonts w:ascii="宋体" w:eastAsia="宋体" w:cs="宋体" w:hint="eastAsia"/>
        </w:rPr>
      </w:pPr>
      <w:bookmarkStart w:id="0" w:name="_GoBack"/>
      <w:bookmarkEnd w:id="0"/>
      <w:r>
        <w:rPr>
          <w:rFonts w:ascii="宋体" w:eastAsia="宋体" w:cs="宋体" w:hint="eastAsia"/>
        </w:rPr>
        <w:t>附件2</w:t>
      </w:r>
    </w:p>
    <w:p>
      <w:pPr>
        <w:spacing w:line="560" w:lineRule="exact"/>
        <w:jc w:val="center"/>
        <w:rPr>
          <w:rFonts w:ascii="宋体" w:eastAsia="宋体" w:cs="宋体" w:hint="eastAsia"/>
          <w:b/>
        </w:rPr>
      </w:pPr>
      <w:r>
        <w:rPr>
          <w:rFonts w:ascii="宋体" w:eastAsia="宋体" w:cs="宋体" w:hint="eastAsia"/>
          <w:b/>
        </w:rPr>
        <w:t>采购需求响应表</w:t>
      </w:r>
    </w:p>
    <w:tbl>
      <w:tblPr>
        <w:tblpPr w:leftFromText="180" w:rightFromText="180" w:vertAnchor="text" w:horzAnchor="page" w:tblpX="1014" w:tblpY="159"/>
        <w:tblOverlap w:val="never"/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79"/>
        <w:gridCol w:w="3236"/>
        <w:gridCol w:w="2340"/>
        <w:gridCol w:w="720"/>
        <w:gridCol w:w="1080"/>
        <w:gridCol w:w="2521"/>
        <w:gridCol w:w="1980"/>
        <w:gridCol w:w="1259"/>
      </w:tblGrid>
      <w:tr>
        <w:trPr>
          <w:trHeight w:val="282"/>
        </w:trPr>
        <w:tc>
          <w:tcPr>
            <w:tcW w:w="737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9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项目要求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9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需求响应</w:t>
            </w:r>
          </w:p>
        </w:tc>
      </w:tr>
      <w:tr>
        <w:trPr>
          <w:trHeight w:val="282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3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序号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1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名称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0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需求内容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9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包装清单（单套）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5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6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名称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7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需求内容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8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包装清单（单套）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9"/>
              <w:widowControl/>
              <w:jc w:val="center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  <w:lang w:bidi="ar-SA"/>
              </w:rPr>
              <w:t>偏离情况</w:t>
            </w:r>
          </w:p>
        </w:tc>
      </w:tr>
      <w:tr>
        <w:trPr>
          <w:trHeight w:val="283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8"/>
              <w:widowControl/>
              <w:jc w:val="center"/>
              <w:textAlignment w:val="center"/>
              <w:rPr>
                <w:rFonts w:ascii="宋体" w:eastAsia="宋体" w:cs="宋体" w:hint="eastAsia"/>
                <w:color w:val="000000"/>
                <w:szCs w:val="21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bidi="ar-SA"/>
              </w:rPr>
              <w:t>1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4"/>
              <w:widowControl/>
              <w:jc w:val="left"/>
              <w:textAlignment w:val="center"/>
              <w:rPr>
                <w:rFonts w:ascii="宋体" w:eastAsia="宋体" w:cs="宋体" w:hint="eastAsia"/>
                <w:color w:val="000000"/>
                <w:szCs w:val="21"/>
                <w:lang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  <w:lang w:eastAsia="zh-CN" w:bidi="ar-SA"/>
              </w:rPr>
              <w:t>低速大容量离心机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rPr>
                <w:rFonts w:ascii="宋体" w:eastAsia="宋体" w:cs="宋体" w:hint="eastAsia"/>
                <w:szCs w:val="21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Cs w:val="21"/>
                <w:lang w:val="en-US" w:eastAsia="zh-CN" w:bidi="ar-SA"/>
              </w:rPr>
              <w:t>（</w:t>
            </w:r>
            <w:r>
              <w:rPr>
                <w:rFonts w:ascii="宋体" w:eastAsia="宋体" w:cs="宋体" w:hint="eastAsia"/>
                <w:szCs w:val="21"/>
              </w:rPr>
              <w:t>标注</w:t>
            </w:r>
            <w:r>
              <w:rPr>
                <w:rFonts w:ascii="宋体" w:eastAsia="宋体" w:cs="宋体" w:hint="eastAsia"/>
                <w:szCs w:val="21"/>
                <w:lang w:eastAsia="zh-CN"/>
              </w:rPr>
              <w:t>“</w:t>
            </w:r>
            <w:r>
              <w:rPr>
                <w:rFonts w:ascii="宋体" w:eastAsia="宋体" w:cs="宋体" w:hint="eastAsia"/>
                <w:szCs w:val="21"/>
                <w:lang w:val="en-US" w:eastAsia="zh-CN"/>
              </w:rPr>
              <w:t>★</w:t>
            </w:r>
            <w:r>
              <w:rPr>
                <w:rFonts w:ascii="宋体" w:eastAsia="宋体" w:cs="宋体" w:hint="eastAsia"/>
                <w:szCs w:val="21"/>
              </w:rPr>
              <w:t>”的条款为关键技术参数，</w:t>
            </w:r>
            <w:r>
              <w:rPr>
                <w:rFonts w:ascii="宋体" w:eastAsia="宋体" w:cs="宋体" w:hint="eastAsia"/>
                <w:szCs w:val="21"/>
                <w:lang w:val="en-US" w:eastAsia="zh-CN"/>
              </w:rPr>
              <w:t>对关键技术参数负的负偏离将无法参与投标。</w:t>
            </w:r>
            <w:r>
              <w:rPr>
                <w:rFonts w:ascii="宋体" w:eastAsia="宋体" w:cs="宋体" w:hint="eastAsia"/>
                <w:szCs w:val="21"/>
              </w:rPr>
              <w:t>标注“▲”的条款为重要技术参数</w:t>
            </w:r>
            <w:r>
              <w:rPr>
                <w:rFonts w:ascii="宋体" w:eastAsia="宋体" w:cs="宋体" w:hint="eastAsia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Cs w:val="21"/>
                <w:lang w:val="en-US" w:eastAsia="zh-CN"/>
              </w:rPr>
              <w:t>其分值较高</w:t>
            </w:r>
            <w:r>
              <w:rPr>
                <w:rFonts w:ascii="宋体" w:eastAsia="宋体" w:cs="宋体" w:hint="eastAsia"/>
                <w:szCs w:val="21"/>
                <w:lang w:eastAsia="zh-CN"/>
              </w:rPr>
              <w:t>。</w:t>
            </w:r>
            <w:r>
              <w:rPr>
                <w:rFonts w:ascii="宋体" w:eastAsia="宋体" w:cs="宋体" w:hint="eastAsia"/>
                <w:szCs w:val="21"/>
              </w:rPr>
              <w:t>其他未标注符号的条款为一般技术参数。</w:t>
            </w:r>
            <w:r>
              <w:rPr>
                <w:rFonts w:ascii="宋体" w:eastAsia="宋体" w:cs="宋体" w:hint="eastAsia"/>
                <w:szCs w:val="21"/>
                <w:lang w:val="en-US" w:eastAsia="zh-CN" w:bidi="ar-SA"/>
              </w:rPr>
              <w:t>)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1.主要用途：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对常规理化样品、微生物样品进行分离沉淀和浓缩。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2.特殊资质要求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：无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3.主要技术参数：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★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 </w:t>
            </w:r>
            <w:r>
              <w:rPr>
                <w:rFonts w:ascii="宋体" w:eastAsia="宋体" w:cs="宋体" w:hint="eastAsia"/>
                <w:sz w:val="21"/>
                <w:szCs w:val="21"/>
              </w:rPr>
              <w:t>既能角转子高速离心，又能水平转子大容量离心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highlight w:val="auto"/>
              </w:rPr>
              <w:t>★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3.2 </w:t>
            </w:r>
            <w:r>
              <w:rPr>
                <w:rFonts w:ascii="宋体" w:eastAsia="宋体" w:cs="宋体" w:hint="eastAsia"/>
                <w:sz w:val="21"/>
                <w:szCs w:val="21"/>
              </w:rPr>
              <w:t>温控范围：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-20</w:t>
            </w:r>
            <w:r>
              <w:rPr>
                <w:rFonts w:ascii="宋体" w:eastAsia="宋体" w:cs="宋体" w:hint="eastAsia"/>
                <w:sz w:val="21"/>
                <w:szCs w:val="21"/>
              </w:rPr>
              <w:t>℃</w:t>
            </w:r>
            <w:r>
              <w:rPr>
                <w:rFonts w:ascii="宋体" w:eastAsia="宋体" w:cs="宋体" w:hint="eastAsia"/>
                <w:sz w:val="21"/>
                <w:szCs w:val="21"/>
                <w:lang w:val="en-US"/>
              </w:rPr>
              <w:t>~</w:t>
            </w:r>
            <w:r>
              <w:rPr>
                <w:rFonts w:ascii="宋体" w:eastAsia="宋体" w:cs="宋体" w:hint="eastAsia"/>
                <w:sz w:val="21"/>
                <w:szCs w:val="21"/>
              </w:rPr>
              <w:t>40℃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温控精度：±1℃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3.3</w:t>
            </w:r>
            <w:r>
              <w:rPr>
                <w:rFonts w:ascii="宋体" w:eastAsia="宋体" w:cs="宋体" w:hint="eastAsia"/>
                <w:sz w:val="21"/>
                <w:szCs w:val="21"/>
              </w:rPr>
              <w:t>角转子8×15m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L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（最高转速12000r/min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最大相对离心力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1674</w:t>
            </w:r>
            <w:r>
              <w:rPr>
                <w:rFonts w:ascii="宋体" w:eastAsia="宋体" w:cs="宋体" w:hint="eastAsia"/>
                <w:sz w:val="21"/>
                <w:szCs w:val="21"/>
              </w:rPr>
              <w:t>0×g）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cs="宋体" w:hint="eastAsia"/>
                <w:sz w:val="21"/>
                <w:szCs w:val="21"/>
              </w:rPr>
              <w:t>角转子6×50m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L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（最高转速13000r/min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最大相对离心力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19080</w:t>
            </w:r>
            <w:r>
              <w:rPr>
                <w:rFonts w:ascii="宋体" w:eastAsia="宋体" w:cs="宋体" w:hint="eastAsia"/>
                <w:sz w:val="21"/>
                <w:szCs w:val="21"/>
              </w:rPr>
              <w:t>×g）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cs="宋体" w:hint="eastAsia"/>
                <w:sz w:val="21"/>
                <w:szCs w:val="21"/>
              </w:rPr>
              <w:t>角转子4×100m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L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（最高转速10000r/min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最大相对离心力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12290</w:t>
            </w:r>
            <w:r>
              <w:rPr>
                <w:rFonts w:ascii="宋体" w:eastAsia="宋体" w:cs="宋体" w:hint="eastAsia"/>
                <w:sz w:val="21"/>
                <w:szCs w:val="21"/>
              </w:rPr>
              <w:t>×g）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cs="宋体" w:hint="eastAsia"/>
                <w:sz w:val="21"/>
                <w:szCs w:val="21"/>
              </w:rPr>
              <w:t>水平转子（含适配器）4×250m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L</w:t>
            </w:r>
            <w:r>
              <w:rPr>
                <w:rFonts w:ascii="宋体" w:eastAsia="宋体" w:cs="宋体" w:hint="eastAsia"/>
                <w:sz w:val="21"/>
                <w:szCs w:val="21"/>
              </w:rPr>
              <w:t>（最高转速4000r/min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最大相对离心力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2930</w:t>
            </w:r>
            <w:r>
              <w:rPr>
                <w:rFonts w:ascii="宋体" w:eastAsia="宋体" w:cs="宋体" w:hint="eastAsia"/>
                <w:sz w:val="21"/>
                <w:szCs w:val="21"/>
              </w:rPr>
              <w:t>×g）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3.4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  <w:highlight w:val="auto"/>
              </w:rPr>
              <w:t xml:space="preserve"> </w:t>
            </w:r>
            <w:r>
              <w:rPr>
                <w:rFonts w:ascii="宋体" w:eastAsia="宋体" w:cs="宋体" w:hint="eastAsia"/>
                <w:sz w:val="21"/>
                <w:szCs w:val="21"/>
                <w:highlight w:val="auto"/>
              </w:rPr>
              <w:t>最高转速可达20500r/min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  <w:highlight w:val="auto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  <w:highlight w:val="auto"/>
              </w:rPr>
              <w:t>最大相对离心力29600×g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3.5 </w:t>
            </w:r>
            <w:r>
              <w:rPr>
                <w:rFonts w:ascii="宋体" w:eastAsia="宋体" w:cs="宋体" w:hint="eastAsia"/>
                <w:sz w:val="21"/>
                <w:szCs w:val="21"/>
              </w:rPr>
              <w:t>最大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总</w:t>
            </w:r>
            <w:r>
              <w:rPr>
                <w:rFonts w:ascii="宋体" w:eastAsia="宋体" w:cs="宋体" w:hint="eastAsia"/>
                <w:sz w:val="21"/>
                <w:szCs w:val="21"/>
              </w:rPr>
              <w:t>容量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cs="宋体" w:hint="eastAsia"/>
                <w:sz w:val="21"/>
                <w:szCs w:val="21"/>
              </w:rPr>
              <w:t>角转子：600m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L</w:t>
            </w:r>
            <w:r>
              <w:rPr>
                <w:rFonts w:ascii="宋体" w:eastAsia="宋体" w:cs="宋体" w:hint="eastAsia"/>
                <w:sz w:val="21"/>
                <w:szCs w:val="21"/>
              </w:rPr>
              <w:t>,水平转子：3000m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L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3.6 </w:t>
            </w:r>
            <w:r>
              <w:rPr>
                <w:rFonts w:ascii="宋体" w:eastAsia="宋体" w:cs="宋体" w:hint="eastAsia"/>
                <w:sz w:val="21"/>
                <w:szCs w:val="21"/>
              </w:rPr>
              <w:t>定速计时，离心时间可自由选择分钟或秒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定时范围1-999min/1-999s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3.7 </w:t>
            </w:r>
            <w:r>
              <w:rPr>
                <w:rFonts w:ascii="宋体" w:eastAsia="宋体" w:cs="宋体" w:hint="eastAsia"/>
                <w:sz w:val="21"/>
                <w:szCs w:val="21"/>
              </w:rPr>
              <w:t>全自动转子识别系统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3.8 </w:t>
            </w:r>
            <w:r>
              <w:rPr>
                <w:rFonts w:ascii="宋体" w:eastAsia="宋体" w:cs="宋体" w:hint="eastAsia"/>
                <w:sz w:val="21"/>
                <w:szCs w:val="21"/>
              </w:rPr>
              <w:t>液晶、数码多屏显示，程序组、升降速、转速/离心力,时间和温度等参数独立显示单键设置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3.9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多</w:t>
            </w:r>
            <w:r>
              <w:rPr>
                <w:rFonts w:ascii="宋体" w:eastAsia="宋体" w:cs="宋体" w:hint="eastAsia"/>
                <w:sz w:val="21"/>
                <w:szCs w:val="21"/>
              </w:rPr>
              <w:t>种升、降速率选择，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可</w:t>
            </w:r>
            <w:r>
              <w:rPr>
                <w:rFonts w:ascii="宋体" w:eastAsia="宋体" w:cs="宋体" w:hint="eastAsia"/>
                <w:sz w:val="21"/>
                <w:szCs w:val="21"/>
              </w:rPr>
              <w:t>控制转速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转速精度±20r/min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cs="宋体" w:hint="eastAsia"/>
                <w:sz w:val="21"/>
                <w:szCs w:val="21"/>
              </w:rPr>
              <w:t>自定义离心参数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3.10 </w:t>
            </w:r>
            <w:r>
              <w:rPr>
                <w:rFonts w:ascii="宋体" w:eastAsia="宋体" w:cs="宋体" w:hint="eastAsia"/>
                <w:sz w:val="21"/>
                <w:szCs w:val="21"/>
              </w:rPr>
              <w:t>点动功能、短暂离心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3.11 </w:t>
            </w:r>
            <w:r>
              <w:rPr>
                <w:rFonts w:ascii="宋体" w:eastAsia="宋体" w:cs="宋体" w:hint="eastAsia"/>
                <w:sz w:val="21"/>
                <w:szCs w:val="21"/>
              </w:rPr>
              <w:t>软刹车技术，减少重悬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3.12 </w:t>
            </w:r>
            <w:r>
              <w:rPr>
                <w:rFonts w:ascii="宋体" w:eastAsia="宋体" w:cs="宋体" w:hint="eastAsia"/>
                <w:sz w:val="21"/>
                <w:szCs w:val="21"/>
              </w:rPr>
              <w:t>动态压缩机组，制冷制热双回路。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3.13 </w:t>
            </w:r>
            <w:r>
              <w:rPr>
                <w:rFonts w:ascii="宋体" w:eastAsia="宋体" w:cs="宋体" w:hint="eastAsia"/>
                <w:sz w:val="21"/>
                <w:szCs w:val="21"/>
              </w:rPr>
              <w:t>超温、超速、门盖、不平衡等保护，声光报警提示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3.14 </w:t>
            </w:r>
            <w:r>
              <w:rPr>
                <w:rFonts w:ascii="宋体" w:eastAsia="宋体" w:cs="宋体" w:hint="eastAsia"/>
                <w:sz w:val="21"/>
                <w:szCs w:val="21"/>
              </w:rPr>
              <w:t>钢制机身、不锈钢离心腔，钢制护套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3.15 </w:t>
            </w:r>
            <w:r>
              <w:rPr>
                <w:rFonts w:ascii="宋体" w:eastAsia="宋体" w:cs="宋体" w:hint="eastAsia"/>
                <w:sz w:val="21"/>
                <w:szCs w:val="21"/>
              </w:rPr>
              <w:t>微电脑控制，运行参数自动记忆，可RCF直接启动，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多</w:t>
            </w:r>
            <w:r>
              <w:rPr>
                <w:rFonts w:ascii="宋体" w:eastAsia="宋体" w:cs="宋体" w:hint="eastAsia"/>
                <w:sz w:val="21"/>
                <w:szCs w:val="21"/>
              </w:rPr>
              <w:t>种自定义工作模式可直接调用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3.16 </w:t>
            </w:r>
            <w:r>
              <w:rPr>
                <w:rFonts w:ascii="宋体" w:eastAsia="宋体" w:cs="宋体" w:hint="eastAsia"/>
                <w:sz w:val="21"/>
                <w:szCs w:val="21"/>
              </w:rPr>
              <w:t>三级阻尼减震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3.17 </w:t>
            </w:r>
            <w:r>
              <w:rPr>
                <w:rFonts w:ascii="宋体" w:eastAsia="宋体" w:cs="宋体" w:hint="eastAsia"/>
                <w:sz w:val="21"/>
                <w:szCs w:val="21"/>
              </w:rPr>
              <w:t>大力矩无刷变频电机，无氟压缩机</w:t>
            </w:r>
          </w:p>
          <w:p>
            <w:pPr>
              <w:pStyle w:val="10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 xml:space="preserve">3.18 </w:t>
            </w:r>
            <w:r>
              <w:rPr>
                <w:rFonts w:ascii="宋体" w:eastAsia="宋体" w:cs="宋体" w:hint="eastAsia"/>
                <w:sz w:val="21"/>
                <w:szCs w:val="21"/>
              </w:rPr>
              <w:t>超硬铝合金转子厚膜硬质氧化，耐腐蚀</w:t>
            </w:r>
          </w:p>
          <w:p>
            <w:pPr>
              <w:pStyle w:val="8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firstLineChars="200" w:firstLine="420"/>
              <w:rPr>
                <w:rFonts w:ascii="宋体" w:eastAsia="宋体" w:cs="宋体" w:hint="eastAsia"/>
                <w:szCs w:val="21"/>
              </w:rPr>
            </w:pP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Cs w:val="21"/>
                <w:lang w:eastAsia="zh-CN"/>
              </w:rPr>
              <w:t>主要配置</w:t>
            </w:r>
          </w:p>
          <w:p>
            <w:pPr>
              <w:pStyle w:val="64"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1.主机</w:t>
              <w:tab/>
              <w:t>1台</w:t>
            </w:r>
          </w:p>
          <w:p>
            <w:pPr>
              <w:pStyle w:val="64"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2.角转子（15mL，数量≥8）1套</w:t>
            </w:r>
          </w:p>
          <w:p>
            <w:pPr>
              <w:pStyle w:val="64"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3.角转子（50mL，数量≥6）1套</w:t>
            </w:r>
          </w:p>
          <w:p>
            <w:pPr>
              <w:pStyle w:val="64"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4.角转子（100mL，数量≥4）1套</w:t>
            </w: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5.水平转子（含适配器)（250mL，数量≥4）1套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</w:tr>
      <w:tr>
        <w:trPr>
          <w:trHeight w:val="283"/>
        </w:trPr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8"/>
              <w:widowControl/>
              <w:jc w:val="center"/>
              <w:textAlignment w:val="center"/>
              <w:rPr>
                <w:rFonts w:ascii="宋体" w:eastAsia="宋体" w:cs="宋体" w:hint="eastAsia"/>
                <w:color w:val="000000"/>
                <w:kern w:val="0"/>
                <w:szCs w:val="21"/>
                <w:lang w:val="en-US" w:eastAsia="zh-CN" w:bidi="ar-SA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val="en-US" w:eastAsia="zh-CN" w:bidi="ar-SA"/>
              </w:rPr>
              <w:t>2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94"/>
              <w:widowControl/>
              <w:jc w:val="left"/>
              <w:textAlignment w:val="center"/>
              <w:rPr>
                <w:rFonts w:ascii="宋体" w:eastAsia="宋体" w:cs="宋体" w:hint="eastAsia"/>
                <w:color w:val="000000"/>
                <w:kern w:val="0"/>
                <w:szCs w:val="21"/>
                <w:lang w:eastAsia="zh-CN" w:bidi="ar-SA"/>
              </w:rPr>
            </w:pPr>
            <w:r>
              <w:rPr>
                <w:rFonts w:ascii="宋体" w:eastAsia="宋体" w:cs="宋体" w:hint="eastAsia"/>
                <w:color w:val="000000"/>
                <w:szCs w:val="21"/>
                <w:lang w:eastAsia="zh-CN" w:bidi="ar-SA"/>
              </w:rPr>
              <w:t>纯水机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1.主要用途：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清洗、实验室用溶液的配置、微生物实验，以及常规理化、色谱实验。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2.特殊资质要求</w:t>
            </w:r>
            <w:r>
              <w:rPr>
                <w:rFonts w:ascii="宋体" w:eastAsia="宋体" w:cs="宋体" w:hint="eastAsia"/>
                <w:sz w:val="21"/>
                <w:szCs w:val="21"/>
                <w:lang w:eastAsia="zh-CN"/>
              </w:rPr>
              <w:t>：无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Chars="200" w:firstLine="420"/>
              <w:jc w:val="left"/>
              <w:rPr>
                <w:rFonts w:ascii="宋体" w:eastAsia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3.主要技术参数：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3.1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进水条件：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以自来水作为进水水源，进水条件宽泛，进水电导率最高可允许到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000μs/cm。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产水水质：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.1二级纯水产水水质：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电阻率   ＞5 MΩ•cm＠25℃ （典型值10-15 MΩ•cm＠25℃）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总有机碳含量(TOC)               ＜30ppb；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 xml:space="preserve">颗粒（＞0.22μm）              ＜1 unit/mL   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微生物                         ＜0.01CFU/mL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产水速度：≥15L/H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.2一级超纯水：达到或超过各种标准中规定的I 级水质，如ASTM D1193、ISO 3696、CLSI、JIS K0577、GB/T6682等，及美国药典（USP）、欧洲药典（EP）、日本药典（JP）和中国202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版药典（ChP）中规定的试剂级超纯水要求：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产水电阻率                    ≥ 18.2 MΩ•cm @ 25℃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TOC含量                       ＜2ppb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 xml:space="preserve">颗粒（＞0.22μm）              ＜1 unit/mL   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微生物                         ＜0.01CFU/mL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致热原（内毒素）               ＜0.001EU/mL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RNA酶：                       ＜1 pg/mL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DNA酶：                       ＜5pg/mL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蛋白酶：                       ＜0.15μg/mL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产水速度：≥2L/min可调，可连续调节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设备参数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.1自来水预处理部分：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采用自动冲洗的超滤系统，微电脑控制，可定时冲洗，使用寿命2年以上；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.2纯化柱：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  <w:t>采用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≥三根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  <w:t>独立纯化柱设计，预保护柱填充硅磷晶，椰壳活性炭；精纯化柱填充高分子材料合成活性炭，可去除钙镁等离子</w:t>
            </w:r>
            <w:bookmarkStart w:id="1" w:name="_Hlk53567625"/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  <w:t>、去除余氯和嗅味</w:t>
            </w:r>
            <w:bookmarkEnd w:id="1"/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  <w:t>、去除水中痕量有机物、去除痕量离子。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.3反渗透：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双级反渗透设计；第二级反渗透全部废水回流。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.4 EDI模块：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内置EDI模块，无需化学再生或加软化柱，可长时间使用。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.5 TOC检测模块：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内置TOC检测仪，带独立的氧化池，并联到系统内封闭氧化，检测范围1-999ppb，分辨率可到0.01ppb。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★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.2.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水箱：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0L水箱；配置空气滤器和紫外灯，嵌入式设计；配置压力式液位传感器。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.2.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取水手臂：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bookmarkStart w:id="2" w:name="_Hlk53734088"/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独立取水手臂，集成触摸屏；定量取水，取水量0.01-60L可调。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bookmarkEnd w:id="2"/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▲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.2.8人机交互：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仪器运行状态、水质信息、耗材状态和报警信息可直接显示。水质信息实时监测，进水和产水信息在线显示。系统自动储存数据，包括完整水质、仪器维护等信息。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  <w:highlight w:val="auto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  <w:t>.2.9云端管理：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物联网平台实时在线监控仪器数据。支持一个账户同时监测多台设备。水质数据实时监控，定时上传，数据报表一键导出。耗材状态、报警信息实时上传监控，并通过短信或公众号方式推送。远程诊断功能，如果使用过程中水机出现故障，可以远程云端进行诊断，及时发现故障点；支持分级登录权限管理，用户可自定义操作者账户人数。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.2.10环境友好：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460" w:lineRule="exact"/>
              <w:ind w:firstLineChars="200" w:firstLine="420"/>
              <w:jc w:val="left"/>
              <w:textAlignment w:val="baseline"/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</w:rPr>
              <w:t>设备运行噪音低于50dB；配漏水检测器，出现漏水直接关闭管道进水。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  <w:lang w:eastAsia="zh-CN"/>
                <w:highlight w:val="auto"/>
              </w:rPr>
              <w:t>无棉芯活性炭等自来水预处理的废物处理。</w:t>
            </w:r>
          </w:p>
          <w:p>
            <w:pPr>
              <w:pStyle w:val="8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ind w:firstLineChars="200" w:firstLine="420"/>
              <w:rPr>
                <w:rFonts w:ascii="宋体" w:eastAsia="宋体" w:cs="宋体" w:hint="eastAsia"/>
                <w:szCs w:val="21"/>
              </w:rPr>
            </w:pP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  <w:lang w:eastAsia="zh-CN"/>
              </w:rPr>
              <w:t>主要配置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1.主机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2.预处理系统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3.预保护柱</w:t>
              <w:tab/>
              <w:t>2根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4.精纯化柱</w:t>
              <w:tab/>
              <w:t>1根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5.双级RO反渗透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6.EDI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7.TOC检测仪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8.水箱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9.取水手臂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10.智能控制系统</w:t>
              <w:tab/>
              <w:t>1套</w:t>
            </w:r>
          </w:p>
          <w:p>
            <w:pPr>
              <w:pStyle w:val="64"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11.云端控制系统</w:t>
              <w:tab/>
              <w:t>1套</w:t>
            </w:r>
          </w:p>
          <w:p>
            <w:pPr>
              <w:pStyle w:val="8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jc w:val="both"/>
              <w:rPr>
                <w:rFonts w:ascii="宋体" w:eastAsia="宋体" w:cs="宋体" w:hint="eastAsia"/>
                <w:szCs w:val="21"/>
              </w:rPr>
            </w:pPr>
            <w:r>
              <w:rPr>
                <w:rFonts w:ascii="宋体" w:eastAsia="宋体" w:cs="宋体" w:hint="eastAsia"/>
                <w:szCs w:val="21"/>
              </w:rPr>
              <w:t>12.漏水检测器</w:t>
              <w:tab/>
              <w:t>1套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6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rPr>
                <w:rFonts w:ascii="宋体" w:eastAsia="宋体" w:cs="宋体" w:hint="eastAsia"/>
                <w:szCs w:val="21"/>
                <w:lang w:val="en-US" w:eastAsia="zh-CN"/>
              </w:rPr>
            </w:pPr>
          </w:p>
        </w:tc>
      </w:tr>
    </w:tbl>
    <w:p>
      <w:pPr>
        <w:widowControl/>
        <w:tabs>
          <w:tab w:val="left" w:pos="455"/>
        </w:tabs>
        <w:spacing w:line="500" w:lineRule="exact"/>
        <w:ind w:left="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cs="宋体" w:hAnsi="Times New Roman"/>
          <w:kern w:val="0"/>
          <w:sz w:val="28"/>
          <w:szCs w:val="28"/>
          <w:lang w:bidi="ar-SA"/>
        </w:rPr>
        <w:t>报价单位（盖章）：</w:t>
      </w:r>
      <w:r>
        <w:rPr>
          <w:rFonts w:ascii="Times New Roman" w:hAnsi="Times New Roman"/>
          <w:sz w:val="24"/>
          <w:u w:val="single"/>
        </w:rPr>
        <w:t xml:space="preserve">                                 </w:t>
      </w:r>
      <w:r>
        <w:rPr>
          <w:rFonts w:ascii="Times New Roman" w:cs="宋体" w:hAnsi="Times New Roman" w:hint="eastAsia"/>
          <w:kern w:val="0"/>
          <w:sz w:val="28"/>
          <w:szCs w:val="28"/>
          <w:lang w:bidi="ar-SA"/>
        </w:rPr>
        <w:t xml:space="preserve">  </w:t>
      </w:r>
      <w:r>
        <w:rPr>
          <w:rFonts w:ascii="Times New Roman" w:cs="宋体" w:hAnsi="Times New Roman"/>
          <w:kern w:val="0"/>
          <w:sz w:val="28"/>
          <w:szCs w:val="28"/>
          <w:lang w:bidi="ar-SA"/>
        </w:rPr>
        <w:t>单位地址：</w:t>
      </w:r>
      <w:r>
        <w:rPr>
          <w:rFonts w:ascii="Times New Roman" w:hAnsi="Times New Roman"/>
          <w:sz w:val="24"/>
          <w:u w:val="single"/>
        </w:rPr>
        <w:t xml:space="preserve">                                 </w:t>
      </w:r>
    </w:p>
    <w:p>
      <w:pPr>
        <w:widowControl/>
        <w:tabs>
          <w:tab w:val="left" w:pos="455"/>
        </w:tabs>
        <w:spacing w:line="500" w:lineRule="exact"/>
        <w:ind w:left="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联系人（签字）：</w:t>
      </w:r>
      <w:r>
        <w:rPr>
          <w:rFonts w:ascii="Times New Roman" w:hAnsi="Times New Roman"/>
          <w:sz w:val="24"/>
          <w:u w:val="single"/>
        </w:rPr>
        <w:t xml:space="preserve">                    </w:t>
      </w:r>
      <w:r>
        <w:rPr>
          <w:rFonts w:ascii="Times New Roman" w:hAnsi="Times New Roman"/>
          <w:sz w:val="24"/>
          <w:u w:val="none" w:color="auto"/>
        </w:rPr>
        <w:t xml:space="preserve">   联系方式：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>
        <w:rPr>
          <w:rFonts w:ascii="Times New Roman" w:hAnsi="Times New Roman"/>
          <w:sz w:val="24"/>
          <w:u w:val="none" w:color="auto"/>
        </w:rPr>
        <w:t xml:space="preserve">  报价日期：</w:t>
      </w:r>
      <w:r>
        <w:rPr>
          <w:rFonts w:ascii="Times New Roman" w:hAnsi="Times New Roman"/>
          <w:sz w:val="24"/>
          <w:u w:val="single"/>
        </w:rPr>
        <w:t xml:space="preserve">               </w:t>
      </w:r>
    </w:p>
    <w:p>
      <w:pPr>
        <w:widowControl/>
        <w:tabs>
          <w:tab w:val="left" w:pos="455"/>
        </w:tabs>
        <w:spacing w:line="500" w:lineRule="exact"/>
        <w:ind w:left="0"/>
        <w:jc w:val="left"/>
        <w:rPr>
          <w:rFonts w:ascii="Times New Roman" w:cs="宋体" w:hAnsi="Times New Roman" w:hint="eastAsia"/>
          <w:kern w:val="0"/>
          <w:sz w:val="24"/>
          <w:szCs w:val="28"/>
          <w:lang w:bidi="ar-SA"/>
        </w:rPr>
      </w:pPr>
      <w:r>
        <w:rPr>
          <w:rFonts w:ascii="Times New Roman" w:hAnsi="Times New Roman"/>
          <w:sz w:val="24"/>
        </w:rPr>
        <w:t>注：报价单位应根据需求表的要求逐条响应并在</w:t>
      </w:r>
      <w:r>
        <w:rPr>
          <w:rFonts w:ascii="Times New Roman" w:hAnsi="Times New Roman" w:hint="eastAsia"/>
          <w:sz w:val="24"/>
        </w:rPr>
        <w:t>“偏离情况”栏注明“正偏离”、“负偏离”或“无偏离”，特别对有具体参数要求的指标，报价单位保修提供所供服务的具体参数值</w:t>
      </w:r>
      <w:r>
        <w:rPr>
          <w:rFonts w:ascii="Times New Roman" w:hAnsi="Times New Roman"/>
          <w:sz w:val="24"/>
        </w:rPr>
        <w:t>。</w:t>
      </w:r>
    </w:p>
    <w:sectPr>
      <w:footerReference w:type="default" r:id="rId2"/>
      <w:footerReference w:type="even" r:id="rId3"/>
      <w:pgSz w:w="16838" w:h="11906" w:orient="landscape"/>
      <w:pgMar w:top="1440" w:right="1800" w:bottom="1440" w:left="9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方正仿宋_GBK">
    <w:altName w:val="Arial Unicode MS"/>
    <w:panose1 w:val="02000000000000000000"/>
    <w:charset w:val="86"/>
    <w:family w:val="script"/>
    <w:pitch w:val="variable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  <w:lang w:val="en-US" w:eastAsia="zh-CN"/>
      </w:rPr>
      <w:t>3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 xml:space="preserve"> 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68"/>
  <w:doNotDisplayPageBoundaries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仿宋" w:eastAsia="仿宋" w:cs="Times New Roman"/>
      <w:kern w:val="2"/>
      <w:sz w:val="32"/>
      <w:szCs w:val="32"/>
      <w:lang w:val="en-US" w:eastAsia="zh-CN" w:bidi="ar-SA"/>
    </w:rPr>
  </w:style>
  <w:style w:type="paragraph" w:styleId="4">
    <w:name w:val="heading 4"/>
    <w:basedOn w:val="0"/>
    <w:next w:val="0"/>
    <w:pPr>
      <w:keepNext/>
      <w:keepLines/>
      <w:widowControl w:val="0"/>
      <w:spacing w:before="280" w:after="290" w:line="377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10">
    <w:name w:val="Default Paragraph Font"/>
  </w:style>
  <w:style w:type="paragraph" w:styleId="15">
    <w:name w:val="Plain Text"/>
    <w:next w:val="16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  <w:style w:type="character" w:styleId="18">
    <w:name w:val="Emphasis"/>
    <w:rPr>
      <w:i/>
      <w:iCs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5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5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6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7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79 10 磅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customStyle="1" w:styleId="100">
    <w:name w:val="样式 80 10 磅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customStyle="1" w:styleId="101">
    <w:name w:val="样式 81 10 磅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customStyle="1" w:styleId="102">
    <w:name w:val="样式 82 10 磅"/>
    <w:pPr>
      <w:widowControl w:val="0"/>
      <w:jc w:val="both"/>
    </w:pPr>
    <w:rPr>
      <w:rFonts w:ascii="宋体" w:eastAsia="宋体" w:cs="Times New Roman"/>
      <w:kern w:val="0"/>
      <w:sz w:val="20"/>
      <w:szCs w:val="21"/>
      <w:lang w:val="en-US" w:eastAsia="zh-CN" w:bidi="ar-SA"/>
    </w:rPr>
  </w:style>
  <w:style w:type="paragraph" w:customStyle="1" w:styleId="103">
    <w:name w:val="样式 8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4">
    <w:name w:val="样式 14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10</Pages>
  <Words>1822</Words>
  <Characters>2288</Characters>
  <Lines>221</Lines>
  <Paragraphs>104</Paragraphs>
  <CharactersWithSpaces>2885</CharactersWithSpaces>
  <Company>MC SYSTEM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询价函</dc:title>
  <dc:creator>苏信宇(综合技术服务中心/柳州局/广西局)</dc:creator>
  <cp:lastModifiedBy>杨志</cp:lastModifiedBy>
  <cp:revision>6</cp:revision>
  <dcterms:created xsi:type="dcterms:W3CDTF">2017-08-01T08:32:00Z</dcterms:created>
  <dcterms:modified xsi:type="dcterms:W3CDTF">2026-06-15T07:59:37Z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2052-10.8.2.7119</vt:lpwstr>
  </property>
</Properties>
</file>